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B812" w14:textId="18526161" w:rsidR="004A1B27" w:rsidRPr="004A1B27" w:rsidRDefault="004A1B27" w:rsidP="002444A5">
      <w:pPr>
        <w:spacing w:before="100" w:beforeAutospacing="1" w:after="100" w:afterAutospacing="1" w:line="240" w:lineRule="auto"/>
        <w:outlineLvl w:val="1"/>
        <w:rPr>
          <w:rFonts w:ascii="Times New Roman" w:eastAsia="Times New Roman" w:hAnsi="Times New Roman" w:cs="Times New Roman"/>
          <w:b/>
          <w:bCs/>
          <w:sz w:val="28"/>
          <w:szCs w:val="28"/>
          <w:lang w:val="it-IT"/>
        </w:rPr>
      </w:pPr>
      <w:r w:rsidRPr="004A1B27">
        <w:rPr>
          <w:rFonts w:ascii="Times New Roman" w:eastAsia="Times New Roman" w:hAnsi="Times New Roman" w:cs="Times New Roman"/>
          <w:b/>
          <w:bCs/>
          <w:sz w:val="28"/>
          <w:szCs w:val="28"/>
          <w:lang w:val="it-IT"/>
        </w:rPr>
        <w:t>Concurs tehnician prelucrarea și analiza datelor</w:t>
      </w:r>
      <w:r w:rsidR="002444A5">
        <w:rPr>
          <w:rFonts w:ascii="Times New Roman" w:eastAsia="Times New Roman" w:hAnsi="Times New Roman" w:cs="Times New Roman"/>
          <w:b/>
          <w:bCs/>
          <w:sz w:val="28"/>
          <w:szCs w:val="28"/>
          <w:lang w:val="it-IT"/>
        </w:rPr>
        <w:t>, cod COR 352210</w:t>
      </w:r>
    </w:p>
    <w:p w14:paraId="16C3194F" w14:textId="0DFB9DD8" w:rsidR="00A06DA8" w:rsidRPr="004A1B27" w:rsidRDefault="004A1B27" w:rsidP="00A06DA8">
      <w:pPr>
        <w:spacing w:before="100" w:beforeAutospacing="1" w:after="100" w:afterAutospacing="1" w:line="240" w:lineRule="auto"/>
        <w:outlineLvl w:val="1"/>
        <w:rPr>
          <w:rFonts w:ascii="Times New Roman" w:eastAsia="Times New Roman" w:hAnsi="Times New Roman" w:cs="Times New Roman"/>
          <w:b/>
          <w:bCs/>
        </w:rPr>
      </w:pPr>
      <w:r>
        <w:rPr>
          <w:rFonts w:ascii="Times New Roman" w:eastAsia="Times New Roman" w:hAnsi="Times New Roman" w:cs="Times New Roman"/>
          <w:b/>
          <w:bCs/>
          <w:lang w:val="it-IT"/>
        </w:rPr>
        <w:t>Tematic</w:t>
      </w:r>
      <w:r>
        <w:rPr>
          <w:rFonts w:ascii="Times New Roman" w:eastAsia="Times New Roman" w:hAnsi="Times New Roman" w:cs="Times New Roman"/>
          <w:b/>
          <w:bCs/>
          <w:lang w:val="ro-RO"/>
        </w:rPr>
        <w:t>ă</w:t>
      </w:r>
      <w:r>
        <w:rPr>
          <w:rFonts w:ascii="Times New Roman" w:eastAsia="Times New Roman" w:hAnsi="Times New Roman" w:cs="Times New Roman"/>
          <w:b/>
          <w:bCs/>
        </w:rPr>
        <w:t>:</w:t>
      </w:r>
    </w:p>
    <w:p w14:paraId="55AEA505"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1. Noțiuni generale de seismologie</w:t>
      </w:r>
      <w:r w:rsidRPr="004A1B27">
        <w:rPr>
          <w:rFonts w:ascii="Times New Roman" w:eastAsia="Times New Roman" w:hAnsi="Times New Roman" w:cs="Times New Roman"/>
          <w:lang w:val="it-IT"/>
        </w:rPr>
        <w:br/>
        <w:t>Noțiuni generale privind producerea cutremurelor. Cauzele și clasificarea cutremurelor. Elemente caracteristice ale unui cutremur: hipocentru, epicentru, adâncime focală și timp la origine. Noțiuni privind seismicitatea și principalele zone seismice din România.</w:t>
      </w:r>
    </w:p>
    <w:p w14:paraId="27FD88EF"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2. Unde seismice și propagarea acestora</w:t>
      </w:r>
      <w:r w:rsidRPr="004A1B27">
        <w:rPr>
          <w:rFonts w:ascii="Times New Roman" w:eastAsia="Times New Roman" w:hAnsi="Times New Roman" w:cs="Times New Roman"/>
          <w:lang w:val="it-IT"/>
        </w:rPr>
        <w:br/>
        <w:t>Tipuri de unde seismice. Unde de volum P și S și unde de suprafață. Caracteristicile și propagarea undelor seismice. Identificarea principalelor faze pe înregistrările seismice. Relația dintre timpii de sosire ai fazelor seismice și distanța față de sursă.</w:t>
      </w:r>
    </w:p>
    <w:p w14:paraId="447B03AD"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3. Parametrii cutremurelor</w:t>
      </w:r>
      <w:r w:rsidRPr="004A1B27">
        <w:rPr>
          <w:rFonts w:ascii="Times New Roman" w:eastAsia="Times New Roman" w:hAnsi="Times New Roman" w:cs="Times New Roman"/>
          <w:lang w:val="it-IT"/>
        </w:rPr>
        <w:br/>
        <w:t>Parametrii principali ai unui eveniment seismic: timpul la origine, coordonatele epicentrului, adâncimea focarului și magnitudinea. Noțiuni privind scările de magnitudine. Diferența dintre magnitudine și intensitate seismică. Noțiuni generale privind energia seismică.</w:t>
      </w:r>
    </w:p>
    <w:p w14:paraId="3E48EF4C"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4. Înregistrarea și analiza semnalelor seismice</w:t>
      </w:r>
      <w:r w:rsidRPr="004A1B27">
        <w:rPr>
          <w:rFonts w:ascii="Times New Roman" w:eastAsia="Times New Roman" w:hAnsi="Times New Roman" w:cs="Times New Roman"/>
          <w:lang w:val="it-IT"/>
        </w:rPr>
        <w:br/>
        <w:t>Principiile generale ale înregistrării mișcării solului. Forme de undă seismice și componentele înregistrării. Identificarea semnalelor seismice și diferențierea acestora de zgomot. Raportul semnal/zgomot. Noțiuni privind filtrarea semnalelor și influența acesteia asupra analizei formelor de undă.</w:t>
      </w:r>
    </w:p>
    <w:p w14:paraId="0F10FC39"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5. Identificarea și marcarea fazelor seismice</w:t>
      </w:r>
      <w:r w:rsidRPr="004A1B27">
        <w:rPr>
          <w:rFonts w:ascii="Times New Roman" w:eastAsia="Times New Roman" w:hAnsi="Times New Roman" w:cs="Times New Roman"/>
          <w:lang w:val="it-IT"/>
        </w:rPr>
        <w:br/>
        <w:t>Identificarea fazelor seismice pe formele de undă. Marcarea timpilor de sosire ai fazelor P și S. Alegerea componentelor adecvate pentru analiză. Aprecierea calității și incertitudinii timpilor de sosire. Verificarea coerenței fazelor înregistrate la mai multe stații.</w:t>
      </w:r>
    </w:p>
    <w:p w14:paraId="19A8C05F"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6. Localizarea evenimentelor seismice</w:t>
      </w:r>
      <w:r w:rsidRPr="004A1B27">
        <w:rPr>
          <w:rFonts w:ascii="Times New Roman" w:eastAsia="Times New Roman" w:hAnsi="Times New Roman" w:cs="Times New Roman"/>
          <w:lang w:val="it-IT"/>
        </w:rPr>
        <w:br/>
        <w:t>Principiile localizării unui eveniment seismic utilizând timpii de sosire ai fazelor. Determinarea timpului la origine, epicentrului și adâncimii focale. Influența distribuției stațiilor, numărului de faze, modelului de viteze și preciziei timpilor de sosire asupra localizării. Reziduurile timpilor de sosire și evaluarea calității soluției.</w:t>
      </w:r>
    </w:p>
    <w:p w14:paraId="79E8AFAF"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7. Analiza și validarea evenimentelor seismice</w:t>
      </w:r>
      <w:r w:rsidRPr="004A1B27">
        <w:rPr>
          <w:rFonts w:ascii="Times New Roman" w:eastAsia="Times New Roman" w:hAnsi="Times New Roman" w:cs="Times New Roman"/>
          <w:lang w:val="it-IT"/>
        </w:rPr>
        <w:br/>
        <w:t>Verificarea manuală a evenimentelor detectate și localizate automat. Asocierea fazelor cu evenimentele seismice. Identificarea și corectarea asocierilor necorespunzătoare. Analiza reziduurilor și validarea soluției finale. Elemente generale privind diferențierea cutremurelor tectonice, exploziilor și semnalelor de origine non-seismică.</w:t>
      </w:r>
    </w:p>
    <w:p w14:paraId="6EA8CF19"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8. Sistemul Antelope – noțiuni generale</w:t>
      </w:r>
      <w:r w:rsidRPr="004A1B27">
        <w:rPr>
          <w:rFonts w:ascii="Times New Roman" w:eastAsia="Times New Roman" w:hAnsi="Times New Roman" w:cs="Times New Roman"/>
          <w:lang w:val="it-IT"/>
        </w:rPr>
        <w:br/>
        <w:t>Arhitectura și principalele componente ale sistemului Antelope. Achiziția, procesarea, arhivarea și analiza datelor seismice. Organizarea datelor și noțiuni privind bazele de date utilizate de Antelope.</w:t>
      </w:r>
    </w:p>
    <w:p w14:paraId="5D1DDC1B"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9. Analiza formelor de undă utilizând dbpick</w:t>
      </w:r>
      <w:r w:rsidRPr="004A1B27">
        <w:rPr>
          <w:rFonts w:ascii="Times New Roman" w:eastAsia="Times New Roman" w:hAnsi="Times New Roman" w:cs="Times New Roman"/>
          <w:lang w:val="it-IT"/>
        </w:rPr>
        <w:br/>
        <w:t xml:space="preserve">Principalele funcționalități ale programului dbpick. Selectarea stațiilor și canalelor. Afișarea și navigarea </w:t>
      </w:r>
      <w:r w:rsidRPr="004A1B27">
        <w:rPr>
          <w:rFonts w:ascii="Times New Roman" w:eastAsia="Times New Roman" w:hAnsi="Times New Roman" w:cs="Times New Roman"/>
          <w:lang w:val="it-IT"/>
        </w:rPr>
        <w:lastRenderedPageBreak/>
        <w:t>în formele de undă. Scalarea și filtrarea semnalelor. Identificarea și marcarea fazelor seismice. Modificarea și verificarea pick-urilor.</w:t>
      </w:r>
    </w:p>
    <w:p w14:paraId="5D91D28C" w14:textId="74E85BF9"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r w:rsidRPr="004A1B27">
        <w:rPr>
          <w:rFonts w:ascii="Times New Roman" w:eastAsia="Times New Roman" w:hAnsi="Times New Roman" w:cs="Times New Roman"/>
          <w:b/>
          <w:bCs/>
          <w:lang w:val="it-IT"/>
        </w:rPr>
        <w:t>10. Localizarea evenimentelor utilizând dbloc2</w:t>
      </w:r>
      <w:r w:rsidRPr="004A1B27">
        <w:rPr>
          <w:rFonts w:ascii="Times New Roman" w:eastAsia="Times New Roman" w:hAnsi="Times New Roman" w:cs="Times New Roman"/>
          <w:lang w:val="it-IT"/>
        </w:rPr>
        <w:br/>
        <w:t>Principalele funcționalități ale programului dbloc2. Selectarea și analiza unui eveniment. Asocierea fazelor seismice. Interacțiunea dintre dbloc2 și dbpick. Calcularea și actualizarea soluției de localizare. Analiza reziduurilor și evaluarea calității localizării.</w:t>
      </w:r>
    </w:p>
    <w:p w14:paraId="111D5BD7" w14:textId="2E590EAA" w:rsidR="00A06DA8" w:rsidRPr="004A1B27" w:rsidRDefault="00A06DA8" w:rsidP="00A06DA8">
      <w:pPr>
        <w:spacing w:before="100" w:beforeAutospacing="1" w:after="100" w:afterAutospacing="1" w:line="240" w:lineRule="auto"/>
        <w:rPr>
          <w:rFonts w:ascii="Times New Roman" w:eastAsia="Times New Roman" w:hAnsi="Times New Roman" w:cs="Times New Roman"/>
          <w:lang w:val="it-IT"/>
        </w:rPr>
      </w:pPr>
    </w:p>
    <w:p w14:paraId="29945525" w14:textId="0C7DDBBB" w:rsidR="00A06DA8" w:rsidRPr="004A1B27" w:rsidRDefault="00A06DA8" w:rsidP="00A06DA8">
      <w:pPr>
        <w:spacing w:before="100" w:beforeAutospacing="1" w:after="100" w:afterAutospacing="1" w:line="240" w:lineRule="auto"/>
        <w:rPr>
          <w:rFonts w:ascii="Times New Roman" w:eastAsia="Times New Roman" w:hAnsi="Times New Roman" w:cs="Times New Roman"/>
          <w:b/>
          <w:bCs/>
          <w:lang w:val="it-IT"/>
        </w:rPr>
      </w:pPr>
      <w:r w:rsidRPr="004A1B27">
        <w:rPr>
          <w:rFonts w:ascii="Times New Roman" w:eastAsia="Times New Roman" w:hAnsi="Times New Roman" w:cs="Times New Roman"/>
          <w:b/>
          <w:bCs/>
          <w:lang w:val="it-IT"/>
        </w:rPr>
        <w:t>Bibliografie:</w:t>
      </w:r>
    </w:p>
    <w:p w14:paraId="55030531" w14:textId="77777777" w:rsidR="00A06DA8" w:rsidRPr="004A1B27" w:rsidRDefault="00A06DA8" w:rsidP="00A06DA8">
      <w:pPr>
        <w:pStyle w:val="NormalWeb"/>
        <w:rPr>
          <w:sz w:val="22"/>
          <w:szCs w:val="22"/>
          <w:lang w:val="it-IT"/>
        </w:rPr>
      </w:pPr>
      <w:r w:rsidRPr="004A1B27">
        <w:rPr>
          <w:rStyle w:val="Strong"/>
          <w:sz w:val="22"/>
          <w:szCs w:val="22"/>
          <w:lang w:val="it-IT"/>
        </w:rPr>
        <w:t>1.</w:t>
      </w:r>
      <w:r w:rsidRPr="004A1B27">
        <w:rPr>
          <w:sz w:val="22"/>
          <w:szCs w:val="22"/>
          <w:lang w:val="it-IT"/>
        </w:rPr>
        <w:t xml:space="preserve"> Petrescu, Gheorghe – </w:t>
      </w:r>
      <w:r w:rsidRPr="004A1B27">
        <w:rPr>
          <w:rStyle w:val="Emphasis"/>
          <w:sz w:val="22"/>
          <w:szCs w:val="22"/>
          <w:lang w:val="it-IT"/>
        </w:rPr>
        <w:t>Cutremure de pământ</w:t>
      </w:r>
      <w:r w:rsidRPr="004A1B27">
        <w:rPr>
          <w:sz w:val="22"/>
          <w:szCs w:val="22"/>
          <w:lang w:val="it-IT"/>
        </w:rPr>
        <w:t>, Editura Tehnică, București, 1959.</w:t>
      </w:r>
    </w:p>
    <w:p w14:paraId="6FEB01BD" w14:textId="77777777" w:rsidR="00A06DA8" w:rsidRPr="004A1B27" w:rsidRDefault="00A06DA8" w:rsidP="00A06DA8">
      <w:pPr>
        <w:pStyle w:val="NormalWeb"/>
        <w:rPr>
          <w:sz w:val="22"/>
          <w:szCs w:val="22"/>
        </w:rPr>
      </w:pPr>
      <w:r w:rsidRPr="004A1B27">
        <w:rPr>
          <w:rStyle w:val="Strong"/>
          <w:sz w:val="22"/>
          <w:szCs w:val="22"/>
        </w:rPr>
        <w:t>2.</w:t>
      </w:r>
      <w:r w:rsidRPr="004A1B27">
        <w:rPr>
          <w:sz w:val="22"/>
          <w:szCs w:val="22"/>
        </w:rPr>
        <w:t xml:space="preserve"> Bormann, P. (Ed.) – </w:t>
      </w:r>
      <w:r w:rsidRPr="004A1B27">
        <w:rPr>
          <w:rStyle w:val="Emphasis"/>
          <w:sz w:val="22"/>
          <w:szCs w:val="22"/>
        </w:rPr>
        <w:t>New Manual of Seismological Observatory Practice (NMSOP-2)</w:t>
      </w:r>
      <w:r w:rsidRPr="004A1B27">
        <w:rPr>
          <w:sz w:val="22"/>
          <w:szCs w:val="22"/>
        </w:rPr>
        <w:t xml:space="preserve">, IASPEI, GFZ German Research Centre for Geosciences, Potsdam, 2012. </w:t>
      </w:r>
      <w:hyperlink r:id="rId4" w:tgtFrame="_blank" w:history="1">
        <w:r w:rsidRPr="004A1B27">
          <w:rPr>
            <w:rStyle w:val="Hyperlink"/>
            <w:sz w:val="22"/>
            <w:szCs w:val="22"/>
          </w:rPr>
          <w:t>IASPEI – Publications and NMSOP</w:t>
        </w:r>
      </w:hyperlink>
    </w:p>
    <w:p w14:paraId="25AEA0CE" w14:textId="77777777" w:rsidR="00A06DA8" w:rsidRPr="004A1B27" w:rsidRDefault="00A06DA8" w:rsidP="00A06DA8">
      <w:pPr>
        <w:pStyle w:val="NormalWeb"/>
        <w:rPr>
          <w:sz w:val="22"/>
          <w:szCs w:val="22"/>
        </w:rPr>
      </w:pPr>
      <w:r w:rsidRPr="004A1B27">
        <w:rPr>
          <w:rStyle w:val="Strong"/>
          <w:sz w:val="22"/>
          <w:szCs w:val="22"/>
        </w:rPr>
        <w:t>3.</w:t>
      </w:r>
      <w:r w:rsidRPr="004A1B27">
        <w:rPr>
          <w:sz w:val="22"/>
          <w:szCs w:val="22"/>
        </w:rPr>
        <w:t xml:space="preserve"> Boulder Real Time Technologies (BRTT) – </w:t>
      </w:r>
      <w:r w:rsidRPr="004A1B27">
        <w:rPr>
          <w:rStyle w:val="Emphasis"/>
          <w:sz w:val="22"/>
          <w:szCs w:val="22"/>
        </w:rPr>
        <w:t>Antelope Environmental Monitoring System – Documentation/User Documentation</w:t>
      </w:r>
      <w:r w:rsidRPr="004A1B27">
        <w:rPr>
          <w:sz w:val="22"/>
          <w:szCs w:val="22"/>
        </w:rPr>
        <w:t xml:space="preserve">, </w:t>
      </w:r>
      <w:proofErr w:type="spellStart"/>
      <w:r w:rsidRPr="004A1B27">
        <w:rPr>
          <w:sz w:val="22"/>
          <w:szCs w:val="22"/>
        </w:rPr>
        <w:t>documentația</w:t>
      </w:r>
      <w:proofErr w:type="spellEnd"/>
      <w:r w:rsidRPr="004A1B27">
        <w:rPr>
          <w:sz w:val="22"/>
          <w:szCs w:val="22"/>
        </w:rPr>
        <w:t xml:space="preserve"> </w:t>
      </w:r>
      <w:proofErr w:type="spellStart"/>
      <w:r w:rsidRPr="004A1B27">
        <w:rPr>
          <w:sz w:val="22"/>
          <w:szCs w:val="22"/>
        </w:rPr>
        <w:t>aferentă</w:t>
      </w:r>
      <w:proofErr w:type="spellEnd"/>
      <w:r w:rsidRPr="004A1B27">
        <w:rPr>
          <w:sz w:val="22"/>
          <w:szCs w:val="22"/>
        </w:rPr>
        <w:t xml:space="preserve"> </w:t>
      </w:r>
      <w:proofErr w:type="spellStart"/>
      <w:r w:rsidRPr="004A1B27">
        <w:rPr>
          <w:sz w:val="22"/>
          <w:szCs w:val="22"/>
        </w:rPr>
        <w:t>versiunii</w:t>
      </w:r>
      <w:proofErr w:type="spellEnd"/>
      <w:r w:rsidRPr="004A1B27">
        <w:rPr>
          <w:sz w:val="22"/>
          <w:szCs w:val="22"/>
        </w:rPr>
        <w:t xml:space="preserve"> Antelope </w:t>
      </w:r>
      <w:proofErr w:type="spellStart"/>
      <w:r w:rsidRPr="004A1B27">
        <w:rPr>
          <w:sz w:val="22"/>
          <w:szCs w:val="22"/>
        </w:rPr>
        <w:t>utilizate</w:t>
      </w:r>
      <w:proofErr w:type="spellEnd"/>
      <w:r w:rsidRPr="004A1B27">
        <w:rPr>
          <w:sz w:val="22"/>
          <w:szCs w:val="22"/>
        </w:rPr>
        <w:t xml:space="preserve">. </w:t>
      </w:r>
      <w:hyperlink r:id="rId5" w:tgtFrame="_blank" w:history="1">
        <w:r w:rsidRPr="004A1B27">
          <w:rPr>
            <w:rStyle w:val="Hyperlink"/>
            <w:sz w:val="22"/>
            <w:szCs w:val="22"/>
          </w:rPr>
          <w:t>BRTT – Antelope Documentation</w:t>
        </w:r>
      </w:hyperlink>
    </w:p>
    <w:p w14:paraId="375BBD1A" w14:textId="77777777" w:rsidR="00A06DA8" w:rsidRPr="004A1B27" w:rsidRDefault="00A06DA8" w:rsidP="00A06DA8">
      <w:pPr>
        <w:pStyle w:val="NormalWeb"/>
        <w:rPr>
          <w:sz w:val="22"/>
          <w:szCs w:val="22"/>
        </w:rPr>
      </w:pPr>
      <w:r w:rsidRPr="004A1B27">
        <w:rPr>
          <w:rStyle w:val="Strong"/>
          <w:sz w:val="22"/>
          <w:szCs w:val="22"/>
        </w:rPr>
        <w:t>4.</w:t>
      </w:r>
      <w:r w:rsidRPr="004A1B27">
        <w:rPr>
          <w:sz w:val="22"/>
          <w:szCs w:val="22"/>
        </w:rPr>
        <w:t xml:space="preserve"> Antelope Users Group – </w:t>
      </w:r>
      <w:r w:rsidRPr="004A1B27">
        <w:rPr>
          <w:rStyle w:val="Emphasis"/>
          <w:sz w:val="22"/>
          <w:szCs w:val="22"/>
        </w:rPr>
        <w:t>Antelope New User's Guide</w:t>
      </w:r>
      <w:r w:rsidRPr="004A1B27">
        <w:rPr>
          <w:sz w:val="22"/>
          <w:szCs w:val="22"/>
        </w:rPr>
        <w:t xml:space="preserve">, </w:t>
      </w:r>
      <w:proofErr w:type="spellStart"/>
      <w:r w:rsidRPr="004A1B27">
        <w:rPr>
          <w:sz w:val="22"/>
          <w:szCs w:val="22"/>
        </w:rPr>
        <w:t>capitolele</w:t>
      </w:r>
      <w:proofErr w:type="spellEnd"/>
      <w:r w:rsidRPr="004A1B27">
        <w:rPr>
          <w:sz w:val="22"/>
          <w:szCs w:val="22"/>
        </w:rPr>
        <w:t xml:space="preserve"> </w:t>
      </w:r>
      <w:proofErr w:type="spellStart"/>
      <w:r w:rsidRPr="004A1B27">
        <w:rPr>
          <w:sz w:val="22"/>
          <w:szCs w:val="22"/>
        </w:rPr>
        <w:t>referitoare</w:t>
      </w:r>
      <w:proofErr w:type="spellEnd"/>
      <w:r w:rsidRPr="004A1B27">
        <w:rPr>
          <w:sz w:val="22"/>
          <w:szCs w:val="22"/>
        </w:rPr>
        <w:t xml:space="preserve"> la </w:t>
      </w:r>
      <w:proofErr w:type="spellStart"/>
      <w:r w:rsidRPr="004A1B27">
        <w:rPr>
          <w:sz w:val="22"/>
          <w:szCs w:val="22"/>
        </w:rPr>
        <w:t>baze</w:t>
      </w:r>
      <w:proofErr w:type="spellEnd"/>
      <w:r w:rsidRPr="004A1B27">
        <w:rPr>
          <w:sz w:val="22"/>
          <w:szCs w:val="22"/>
        </w:rPr>
        <w:t xml:space="preserve"> de date, </w:t>
      </w:r>
      <w:proofErr w:type="spellStart"/>
      <w:r w:rsidRPr="004A1B27">
        <w:rPr>
          <w:sz w:val="22"/>
          <w:szCs w:val="22"/>
        </w:rPr>
        <w:t>analiza</w:t>
      </w:r>
      <w:proofErr w:type="spellEnd"/>
      <w:r w:rsidRPr="004A1B27">
        <w:rPr>
          <w:sz w:val="22"/>
          <w:szCs w:val="22"/>
        </w:rPr>
        <w:t xml:space="preserve"> </w:t>
      </w:r>
      <w:proofErr w:type="spellStart"/>
      <w:r w:rsidRPr="004A1B27">
        <w:rPr>
          <w:sz w:val="22"/>
          <w:szCs w:val="22"/>
        </w:rPr>
        <w:t>formelor</w:t>
      </w:r>
      <w:proofErr w:type="spellEnd"/>
      <w:r w:rsidRPr="004A1B27">
        <w:rPr>
          <w:sz w:val="22"/>
          <w:szCs w:val="22"/>
        </w:rPr>
        <w:t xml:space="preserve"> de </w:t>
      </w:r>
      <w:proofErr w:type="spellStart"/>
      <w:r w:rsidRPr="004A1B27">
        <w:rPr>
          <w:sz w:val="22"/>
          <w:szCs w:val="22"/>
        </w:rPr>
        <w:t>undă</w:t>
      </w:r>
      <w:proofErr w:type="spellEnd"/>
      <w:r w:rsidRPr="004A1B27">
        <w:rPr>
          <w:sz w:val="22"/>
          <w:szCs w:val="22"/>
        </w:rPr>
        <w:t xml:space="preserve">, </w:t>
      </w:r>
      <w:proofErr w:type="spellStart"/>
      <w:r w:rsidRPr="004A1B27">
        <w:rPr>
          <w:rStyle w:val="HTMLCode"/>
          <w:rFonts w:ascii="Times New Roman" w:hAnsi="Times New Roman" w:cs="Times New Roman"/>
          <w:sz w:val="22"/>
          <w:szCs w:val="22"/>
        </w:rPr>
        <w:t>dbpick</w:t>
      </w:r>
      <w:proofErr w:type="spellEnd"/>
      <w:r w:rsidRPr="004A1B27">
        <w:rPr>
          <w:sz w:val="22"/>
          <w:szCs w:val="22"/>
        </w:rPr>
        <w:t xml:space="preserve">, </w:t>
      </w:r>
      <w:proofErr w:type="spellStart"/>
      <w:r w:rsidRPr="004A1B27">
        <w:rPr>
          <w:sz w:val="22"/>
          <w:szCs w:val="22"/>
        </w:rPr>
        <w:t>asocierea</w:t>
      </w:r>
      <w:proofErr w:type="spellEnd"/>
      <w:r w:rsidRPr="004A1B27">
        <w:rPr>
          <w:sz w:val="22"/>
          <w:szCs w:val="22"/>
        </w:rPr>
        <w:t xml:space="preserve"> </w:t>
      </w:r>
      <w:proofErr w:type="spellStart"/>
      <w:r w:rsidRPr="004A1B27">
        <w:rPr>
          <w:sz w:val="22"/>
          <w:szCs w:val="22"/>
        </w:rPr>
        <w:t>fazelor</w:t>
      </w:r>
      <w:proofErr w:type="spellEnd"/>
      <w:r w:rsidRPr="004A1B27">
        <w:rPr>
          <w:sz w:val="22"/>
          <w:szCs w:val="22"/>
        </w:rPr>
        <w:t xml:space="preserve"> </w:t>
      </w:r>
      <w:proofErr w:type="spellStart"/>
      <w:r w:rsidRPr="004A1B27">
        <w:rPr>
          <w:sz w:val="22"/>
          <w:szCs w:val="22"/>
        </w:rPr>
        <w:t>și</w:t>
      </w:r>
      <w:proofErr w:type="spellEnd"/>
      <w:r w:rsidRPr="004A1B27">
        <w:rPr>
          <w:sz w:val="22"/>
          <w:szCs w:val="22"/>
        </w:rPr>
        <w:t xml:space="preserve"> </w:t>
      </w:r>
      <w:proofErr w:type="spellStart"/>
      <w:r w:rsidRPr="004A1B27">
        <w:rPr>
          <w:sz w:val="22"/>
          <w:szCs w:val="22"/>
        </w:rPr>
        <w:t>localizarea</w:t>
      </w:r>
      <w:proofErr w:type="spellEnd"/>
      <w:r w:rsidRPr="004A1B27">
        <w:rPr>
          <w:sz w:val="22"/>
          <w:szCs w:val="22"/>
        </w:rPr>
        <w:t xml:space="preserve"> </w:t>
      </w:r>
      <w:proofErr w:type="spellStart"/>
      <w:r w:rsidRPr="004A1B27">
        <w:rPr>
          <w:sz w:val="22"/>
          <w:szCs w:val="22"/>
        </w:rPr>
        <w:t>evenimentelor</w:t>
      </w:r>
      <w:proofErr w:type="spellEnd"/>
      <w:r w:rsidRPr="004A1B27">
        <w:rPr>
          <w:sz w:val="22"/>
          <w:szCs w:val="22"/>
        </w:rPr>
        <w:t>.</w:t>
      </w:r>
    </w:p>
    <w:p w14:paraId="53635419" w14:textId="249E21A5" w:rsidR="00A06DA8" w:rsidRPr="004A1B27" w:rsidRDefault="00A06DA8" w:rsidP="00A06DA8">
      <w:pPr>
        <w:spacing w:before="100" w:beforeAutospacing="1" w:after="100" w:afterAutospacing="1" w:line="240" w:lineRule="auto"/>
        <w:rPr>
          <w:rFonts w:ascii="Times New Roman" w:eastAsia="Times New Roman" w:hAnsi="Times New Roman" w:cs="Times New Roman"/>
        </w:rPr>
      </w:pPr>
    </w:p>
    <w:p w14:paraId="617D7342" w14:textId="77777777" w:rsidR="00A06DA8" w:rsidRPr="004A1B27" w:rsidRDefault="00A06DA8" w:rsidP="00A06DA8">
      <w:pPr>
        <w:spacing w:before="100" w:beforeAutospacing="1" w:after="100" w:afterAutospacing="1" w:line="240" w:lineRule="auto"/>
        <w:rPr>
          <w:rFonts w:ascii="Times New Roman" w:eastAsia="Times New Roman" w:hAnsi="Times New Roman" w:cs="Times New Roman"/>
        </w:rPr>
      </w:pPr>
    </w:p>
    <w:p w14:paraId="7923B343" w14:textId="77777777" w:rsidR="007312A9" w:rsidRPr="004A1B27" w:rsidRDefault="007312A9">
      <w:pPr>
        <w:rPr>
          <w:rFonts w:ascii="Times New Roman" w:hAnsi="Times New Roman" w:cs="Times New Roman"/>
        </w:rPr>
      </w:pPr>
    </w:p>
    <w:sectPr w:rsidR="007312A9" w:rsidRPr="004A1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35A"/>
    <w:rsid w:val="002444A5"/>
    <w:rsid w:val="004A1B27"/>
    <w:rsid w:val="007312A9"/>
    <w:rsid w:val="00A0635A"/>
    <w:rsid w:val="00A06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58A4"/>
  <w15:chartTrackingRefBased/>
  <w15:docId w15:val="{1A0976B9-D763-4988-8B7A-7F3E7725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06D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6DA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6D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6DA8"/>
    <w:rPr>
      <w:b/>
      <w:bCs/>
    </w:rPr>
  </w:style>
  <w:style w:type="character" w:styleId="HTMLCode">
    <w:name w:val="HTML Code"/>
    <w:basedOn w:val="DefaultParagraphFont"/>
    <w:uiPriority w:val="99"/>
    <w:semiHidden/>
    <w:unhideWhenUsed/>
    <w:rsid w:val="00A06DA8"/>
    <w:rPr>
      <w:rFonts w:ascii="Courier New" w:eastAsia="Times New Roman" w:hAnsi="Courier New" w:cs="Courier New"/>
      <w:sz w:val="20"/>
      <w:szCs w:val="20"/>
    </w:rPr>
  </w:style>
  <w:style w:type="character" w:styleId="Emphasis">
    <w:name w:val="Emphasis"/>
    <w:basedOn w:val="DefaultParagraphFont"/>
    <w:uiPriority w:val="20"/>
    <w:qFormat/>
    <w:rsid w:val="00A06DA8"/>
    <w:rPr>
      <w:i/>
      <w:iCs/>
    </w:rPr>
  </w:style>
  <w:style w:type="character" w:customStyle="1" w:styleId="contents">
    <w:name w:val="contents"/>
    <w:basedOn w:val="DefaultParagraphFont"/>
    <w:rsid w:val="00A06DA8"/>
  </w:style>
  <w:style w:type="character" w:styleId="Hyperlink">
    <w:name w:val="Hyperlink"/>
    <w:basedOn w:val="DefaultParagraphFont"/>
    <w:uiPriority w:val="99"/>
    <w:semiHidden/>
    <w:unhideWhenUsed/>
    <w:rsid w:val="00A06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283595">
      <w:bodyDiv w:val="1"/>
      <w:marLeft w:val="0"/>
      <w:marRight w:val="0"/>
      <w:marTop w:val="0"/>
      <w:marBottom w:val="0"/>
      <w:divBdr>
        <w:top w:val="none" w:sz="0" w:space="0" w:color="auto"/>
        <w:left w:val="none" w:sz="0" w:space="0" w:color="auto"/>
        <w:bottom w:val="none" w:sz="0" w:space="0" w:color="auto"/>
        <w:right w:val="none" w:sz="0" w:space="0" w:color="auto"/>
      </w:divBdr>
    </w:div>
    <w:div w:id="20153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rtt.com/docs?utm_source=chatgpt.com" TargetMode="External"/><Relationship Id="rId4" Type="http://schemas.openxmlformats.org/officeDocument/2006/relationships/hyperlink" Target="https://www.iaspei.org/documents/publication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Neagoe</dc:creator>
  <cp:keywords/>
  <dc:description/>
  <cp:lastModifiedBy>utilizator</cp:lastModifiedBy>
  <cp:revision>4</cp:revision>
  <dcterms:created xsi:type="dcterms:W3CDTF">2026-09-18T09:10:00Z</dcterms:created>
  <dcterms:modified xsi:type="dcterms:W3CDTF">2026-09-23T08:56:00Z</dcterms:modified>
</cp:coreProperties>
</file>